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黑体" w:eastAsia="仿宋_GB2312"/>
          <w:sz w:val="28"/>
          <w:szCs w:val="28"/>
        </w:rPr>
      </w:pPr>
      <w:r>
        <w:rPr>
          <w:rFonts w:hint="eastAsia" w:ascii="仿宋_GB2312" w:hAnsi="黑体" w:eastAsia="仿宋_GB2312"/>
          <w:sz w:val="28"/>
          <w:szCs w:val="28"/>
        </w:rPr>
        <w:t>附1</w:t>
      </w:r>
    </w:p>
    <w:p>
      <w:pPr>
        <w:jc w:val="center"/>
        <w:rPr>
          <w:rFonts w:ascii="黑体" w:hAnsi="黑体" w:eastAsia="黑体"/>
          <w:color w:val="FF0000"/>
          <w:sz w:val="30"/>
          <w:szCs w:val="30"/>
        </w:rPr>
      </w:pPr>
      <w:r>
        <w:rPr>
          <w:rFonts w:hint="eastAsia" w:ascii="黑体" w:hAnsi="黑体" w:eastAsia="黑体"/>
          <w:sz w:val="30"/>
          <w:szCs w:val="30"/>
        </w:rPr>
        <w:t>高职院校内部质量保证体系诊断项目参考表</w:t>
      </w:r>
    </w:p>
    <w:tbl>
      <w:tblPr>
        <w:tblStyle w:val="6"/>
        <w:tblW w:w="14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418"/>
        <w:gridCol w:w="2397"/>
        <w:gridCol w:w="6035"/>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6" w:type="dxa"/>
            <w:shd w:val="clear" w:color="auto" w:fill="auto"/>
            <w:vAlign w:val="center"/>
          </w:tcPr>
          <w:p>
            <w:pPr>
              <w:jc w:val="center"/>
              <w:rPr>
                <w:rFonts w:ascii="仿宋_GB2312" w:hAnsi="黑体" w:eastAsia="仿宋_GB2312"/>
                <w:b/>
                <w:szCs w:val="21"/>
              </w:rPr>
            </w:pPr>
            <w:r>
              <w:rPr>
                <w:rFonts w:hint="eastAsia" w:ascii="仿宋_GB2312" w:hAnsi="黑体" w:eastAsia="仿宋_GB2312"/>
                <w:b/>
                <w:szCs w:val="21"/>
              </w:rPr>
              <w:t>诊断</w:t>
            </w:r>
          </w:p>
          <w:p>
            <w:pPr>
              <w:jc w:val="center"/>
              <w:rPr>
                <w:rFonts w:ascii="仿宋_GB2312" w:hAnsi="黑体" w:eastAsia="仿宋_GB2312"/>
                <w:b/>
                <w:szCs w:val="21"/>
              </w:rPr>
            </w:pPr>
            <w:r>
              <w:rPr>
                <w:rFonts w:hint="eastAsia" w:ascii="仿宋_GB2312" w:hAnsi="黑体" w:eastAsia="仿宋_GB2312"/>
                <w:b/>
                <w:szCs w:val="21"/>
              </w:rPr>
              <w:t>项目</w:t>
            </w:r>
          </w:p>
        </w:tc>
        <w:tc>
          <w:tcPr>
            <w:tcW w:w="1418" w:type="dxa"/>
            <w:shd w:val="clear" w:color="auto" w:fill="auto"/>
            <w:vAlign w:val="center"/>
          </w:tcPr>
          <w:p>
            <w:pPr>
              <w:jc w:val="center"/>
              <w:rPr>
                <w:rFonts w:ascii="仿宋_GB2312" w:hAnsi="黑体" w:eastAsia="仿宋_GB2312"/>
                <w:b/>
                <w:szCs w:val="21"/>
              </w:rPr>
            </w:pPr>
            <w:r>
              <w:rPr>
                <w:rFonts w:hint="eastAsia" w:ascii="仿宋_GB2312" w:hAnsi="黑体" w:eastAsia="仿宋_GB2312"/>
                <w:b/>
                <w:szCs w:val="21"/>
              </w:rPr>
              <w:t>诊断要素</w:t>
            </w:r>
          </w:p>
        </w:tc>
        <w:tc>
          <w:tcPr>
            <w:tcW w:w="2397" w:type="dxa"/>
            <w:vAlign w:val="center"/>
          </w:tcPr>
          <w:p>
            <w:pPr>
              <w:jc w:val="center"/>
              <w:rPr>
                <w:rFonts w:ascii="仿宋_GB2312" w:hAnsi="黑体" w:eastAsia="仿宋_GB2312"/>
                <w:b/>
                <w:szCs w:val="21"/>
              </w:rPr>
            </w:pPr>
            <w:r>
              <w:rPr>
                <w:rFonts w:hint="eastAsia" w:ascii="仿宋_GB2312" w:hAnsi="黑体" w:eastAsia="仿宋_GB2312"/>
                <w:b/>
                <w:szCs w:val="21"/>
              </w:rPr>
              <w:t>诊断点</w:t>
            </w:r>
          </w:p>
        </w:tc>
        <w:tc>
          <w:tcPr>
            <w:tcW w:w="6035" w:type="dxa"/>
            <w:shd w:val="clear" w:color="auto" w:fill="auto"/>
            <w:vAlign w:val="center"/>
          </w:tcPr>
          <w:p>
            <w:pPr>
              <w:jc w:val="center"/>
              <w:rPr>
                <w:rFonts w:ascii="仿宋_GB2312" w:hAnsi="黑体" w:eastAsia="仿宋_GB2312"/>
                <w:b/>
                <w:color w:val="000000"/>
                <w:szCs w:val="21"/>
              </w:rPr>
            </w:pPr>
            <w:r>
              <w:rPr>
                <w:rFonts w:hint="eastAsia" w:ascii="仿宋_GB2312" w:hAnsi="黑体" w:eastAsia="仿宋_GB2312"/>
                <w:b/>
                <w:color w:val="000000"/>
                <w:szCs w:val="21"/>
              </w:rPr>
              <w:t>影响因素参考提示</w:t>
            </w:r>
          </w:p>
        </w:tc>
        <w:tc>
          <w:tcPr>
            <w:tcW w:w="3268" w:type="dxa"/>
            <w:shd w:val="clear" w:color="auto" w:fill="auto"/>
            <w:vAlign w:val="center"/>
          </w:tcPr>
          <w:p>
            <w:pPr>
              <w:jc w:val="center"/>
              <w:rPr>
                <w:rFonts w:ascii="仿宋_GB2312" w:hAnsi="黑体" w:eastAsia="仿宋_GB2312"/>
                <w:b/>
                <w:color w:val="000000"/>
                <w:szCs w:val="21"/>
              </w:rPr>
            </w:pPr>
            <w:r>
              <w:rPr>
                <w:rFonts w:hint="eastAsia" w:ascii="仿宋_GB2312" w:hAnsi="黑体" w:eastAsia="仿宋_GB2312"/>
                <w:b/>
                <w:color w:val="000000"/>
                <w:szCs w:val="21"/>
              </w:rPr>
              <w:t>数据管理平台</w:t>
            </w:r>
          </w:p>
          <w:p>
            <w:pPr>
              <w:jc w:val="center"/>
              <w:rPr>
                <w:rFonts w:ascii="仿宋_GB2312" w:hAnsi="黑体" w:eastAsia="仿宋_GB2312"/>
                <w:b/>
                <w:szCs w:val="21"/>
              </w:rPr>
            </w:pPr>
            <w:r>
              <w:rPr>
                <w:rFonts w:hint="eastAsia" w:ascii="仿宋_GB2312" w:hAnsi="黑体" w:eastAsia="仿宋_GB2312"/>
                <w:b/>
                <w:color w:val="000000"/>
                <w:szCs w:val="21"/>
              </w:rPr>
              <w:t>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096"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1 体系总体构架</w:t>
            </w: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1.1质量保证理念</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质量目标与定位</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质量保证规划</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质量保证体系建设规划是否科学明晰、符合实际且具有可操作性；实际执行效果是否明显。</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质量文化建设</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师生质量意识，对学校质量理念的认同度；质量保证全员参与程度；质量文化氛围；持续改进质量的制度设计是否科学有效，是否实现持续改进。</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1.2组织构架</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质量保证机构与分工</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学校、院系各层面质量保证机构、岗位设置是否科学合理，分工与职责权限是否明确。</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质量保证队伍</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1.3制度构架</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质量保证制度</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学校、院系、专业、课程、教师、学生层面的质量保证制度是否具有系统性、完整性与可操作性。</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执行与改进</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1.4信息系统</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信息采集与管理</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3.4/8.1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信息应用</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是否运用平台进行日常管理和教学质量过程监控，各级用户是否定期开展数据分析，形成常态化的信息反馈诊断分析与改进机制。</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096"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2 专业质量保证</w:t>
            </w: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2.1专业建设规划</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规划制定与实施</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专业建设规划是否符合学校发展实际，是否可行；规划实施情况如何，专业结构是否不断优化。</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1.3/7.1-7.6/9.2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目标与标准</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有无明确的专业建设目标和标准；专业人才培养方案是否规范、科学、先进并不断优化。</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7.1/7.3/7.4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条件保障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新增专业设置程序是否规范；专业建设条件（经费、师资、实验实训条件）是否有明确的保障措施。</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3.4/4/5.1/5.2</w:t>
            </w:r>
          </w:p>
          <w:p>
            <w:pPr>
              <w:ind w:left="420"/>
              <w:jc w:val="left"/>
              <w:rPr>
                <w:rFonts w:ascii="仿宋_GB2312" w:eastAsia="仿宋_GB2312"/>
                <w:color w:val="000000"/>
                <w:szCs w:val="21"/>
              </w:rPr>
            </w:pPr>
            <w:r>
              <w:rPr>
                <w:rFonts w:hint="eastAsia" w:ascii="仿宋_GB2312" w:eastAsia="仿宋_GB2312"/>
                <w:color w:val="000000"/>
                <w:szCs w:val="21"/>
              </w:rPr>
              <w:t>6/7.4/7.5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highlight w:val="yellow"/>
              </w:rPr>
            </w:pPr>
            <w:r>
              <w:rPr>
                <w:rFonts w:hint="eastAsia" w:ascii="仿宋_GB2312" w:eastAsia="仿宋_GB2312"/>
                <w:color w:val="000000"/>
                <w:szCs w:val="21"/>
              </w:rPr>
              <w:t>2.2专业诊改</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诊改制度与运行</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学校内部是否建立常态化的专业诊改机制；是否能够促成校内专业设置随产业发展动态调整。</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3.4/8.1/8.7/9.1/9.2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诊改成效如何，人才培养质量是否不断提高；校企融合程度、专业服务社会能力是否不断提升；品牌（特色/重点）专业（群）建设成效、辐射影响力是否不断增强。</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4/5/6/7/9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外部诊断（评估）结论应用</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是否积极参加外部专业诊断（或评估、认证）；外部诊断（评估）结论是否得到有效应用，对学校自诊自改是否起到良好促进作用。</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4/5/6/7/9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2.3课程质量保证</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课程建设规划</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课程建设规划是否科学合理；是否具有可行性与可操作性。</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7.2/7.5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目标与标准</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课程建设规划目标达成度；课程标准是否具备科学性、先进性、规范性与完备性。</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诊改制度实施与效果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校内是否开展对课程建设水平和教学质量的诊改，形成常态化的课程质量保证机制；是否对提高课程建设水平和教学质量产生明显的推进作用。</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3.4/7.2/8.1/8.2</w:t>
            </w:r>
          </w:p>
          <w:p>
            <w:pPr>
              <w:ind w:left="420"/>
              <w:jc w:val="left"/>
              <w:rPr>
                <w:rFonts w:ascii="仿宋_GB2312" w:eastAsia="仿宋_GB2312"/>
                <w:color w:val="000000"/>
                <w:szCs w:val="21"/>
              </w:rPr>
            </w:pPr>
            <w:r>
              <w:rPr>
                <w:rFonts w:hint="eastAsia" w:ascii="仿宋_GB2312" w:eastAsia="仿宋_GB2312"/>
                <w:color w:val="000000"/>
                <w:szCs w:val="21"/>
              </w:rPr>
              <w:t>8.5/8.6/8.7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096"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3 师资质量保证</w:t>
            </w: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3.1师资队伍建设规划</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规划制定</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学校、院系、专业等层面师资队伍建设规划的科学性、一致性和可行性；规划目标达成度。</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6.1/6.2/6.3/6.4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实施保障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是否能为师资建设规划目标的实现提供必需的外部环境、组织管理、资源支撑、经费等保障。</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5.2/7.1/7.2/8.1/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3.2师资建设诊改工作</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诊改制度</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是否制定专兼职教师、专业带头人与骨干教师聘用资格标准；是否开展对师资队伍建设成效的诊改，形成常态化的师资质量保证机制。</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6.1/6.2/6.3/6.4/7.2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实施效果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教师质量意识是否得到提升；教学改革主动性是否得到提高；师资队伍数量、结构、水平、稳定性、社会服务能力等是否得到持续改善；学生满意度是否得到持续提升。</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6.1/6.2/6.3/6.4/8.7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1096"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4 学生全面发展保证</w:t>
            </w: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4.1育人体系</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育人规划</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5.2/8.3/8.4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诊改制度</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是否实施对育人部门工作及效果的诊改。</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实施与效果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育人工作是否已形成常态化诊改机制；育人目标达成度；学生自主学习能力、主动学习积极性、职业能力和创新创业能力是否得到提高。</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2.2/3/7.2/9.2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4.2成长环境</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安全与生活保障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3268" w:type="dxa"/>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特殊学生群体服务与资助</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3268" w:type="dxa"/>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5.2/8.8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96"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5 体系运行效果</w:t>
            </w: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5.1外部环境改进</w:t>
            </w: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政策环境</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能否促进社会资源引入、共享渠道的拓展；政策环境是否利于学校的质量保证体系和人才培养质量持续改进与完善。</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资源环境</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是否能够促进校内办学资源的不断优化；学校资源环境能否促进质量保证体系和人才培养质量持续改进与完善，改善学校的办学条件。</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tcBorders>
              <w:bottom w:val="single" w:color="auto" w:sz="4" w:space="0"/>
            </w:tcBorders>
            <w:shd w:val="clear" w:color="auto" w:fill="auto"/>
            <w:vAlign w:val="center"/>
          </w:tcPr>
          <w:p>
            <w:pPr>
              <w:rPr>
                <w:rFonts w:ascii="仿宋_GB2312" w:eastAsia="仿宋_GB2312"/>
                <w:color w:val="000000"/>
                <w:szCs w:val="21"/>
              </w:rPr>
            </w:pP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合作发展环境</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学校自主诊改机制是否有利于政校合作、校企合作、校校合作的不断优化；合作发展的成效与作用是否不断呈现。</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5.2质量事故管控</w:t>
            </w: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管控制度</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发生率及影响</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学校质量事故的发生率、影响程度；处理安全事故、群体性事件的速度与能力；学校质量事故与投诉发生率是否逐年减少。</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tcBorders>
              <w:bottom w:val="single" w:color="auto" w:sz="4" w:space="0"/>
            </w:tcBorders>
            <w:shd w:val="clear" w:color="auto" w:fill="auto"/>
            <w:vAlign w:val="center"/>
          </w:tcPr>
          <w:p>
            <w:pPr>
              <w:rPr>
                <w:rFonts w:ascii="仿宋_GB2312" w:eastAsia="仿宋_GB2312"/>
                <w:color w:val="000000"/>
                <w:szCs w:val="21"/>
              </w:rPr>
            </w:pP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预警机制</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是否建立过程信息监测分析机制与质量事故预警制度；</w:t>
            </w:r>
          </w:p>
          <w:p>
            <w:pPr>
              <w:rPr>
                <w:rFonts w:ascii="仿宋_GB2312" w:eastAsia="仿宋_GB2312"/>
                <w:color w:val="000000"/>
                <w:szCs w:val="21"/>
              </w:rPr>
            </w:pPr>
            <w:r>
              <w:rPr>
                <w:rFonts w:hint="eastAsia" w:ascii="仿宋_GB2312" w:eastAsia="仿宋_GB2312"/>
                <w:color w:val="000000"/>
                <w:szCs w:val="21"/>
              </w:rPr>
              <w:t>是否有突发性安全事故、群体性事件应对工作预案；</w:t>
            </w:r>
          </w:p>
          <w:p>
            <w:pPr>
              <w:rPr>
                <w:rFonts w:ascii="仿宋_GB2312" w:eastAsia="仿宋_GB2312"/>
                <w:color w:val="000000"/>
                <w:szCs w:val="21"/>
              </w:rPr>
            </w:pPr>
            <w:r>
              <w:rPr>
                <w:rFonts w:hint="eastAsia" w:ascii="仿宋_GB2312" w:eastAsia="仿宋_GB2312"/>
                <w:color w:val="000000"/>
                <w:szCs w:val="21"/>
              </w:rPr>
              <w:t>是否有近三年质量事故分析报告及其反馈处理效果报告；</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restart"/>
            <w:shd w:val="clear" w:color="auto" w:fill="auto"/>
            <w:vAlign w:val="center"/>
          </w:tcPr>
          <w:p>
            <w:pPr>
              <w:rPr>
                <w:rFonts w:ascii="仿宋_GB2312" w:eastAsia="仿宋_GB2312"/>
                <w:color w:val="000000"/>
                <w:szCs w:val="21"/>
              </w:rPr>
            </w:pPr>
            <w:r>
              <w:rPr>
                <w:rFonts w:hint="eastAsia" w:ascii="仿宋_GB2312" w:eastAsia="仿宋_GB2312"/>
                <w:color w:val="000000"/>
                <w:szCs w:val="21"/>
              </w:rPr>
              <w:t>5.3质量保证效果</w:t>
            </w: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规划体系建设及效果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各项规划是否完备、体系是否科学，实施是否顺利，目标达成度如何。</w:t>
            </w:r>
          </w:p>
        </w:tc>
        <w:tc>
          <w:tcPr>
            <w:tcW w:w="3268" w:type="dxa"/>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标准体系建设及效果</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专业、课程、师资、学生发展质量标准是否完备、先进、成体系；能否在诊改过程中不断调整优化；社会认可度如何。</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096" w:type="dxa"/>
            <w:vMerge w:val="continue"/>
            <w:shd w:val="clear" w:color="auto" w:fill="auto"/>
            <w:vAlign w:val="center"/>
          </w:tcPr>
          <w:p>
            <w:pPr>
              <w:rPr>
                <w:rFonts w:ascii="仿宋_GB2312" w:eastAsia="仿宋_GB2312"/>
                <w:color w:val="000000"/>
                <w:szCs w:val="21"/>
              </w:rPr>
            </w:pPr>
          </w:p>
        </w:tc>
        <w:tc>
          <w:tcPr>
            <w:tcW w:w="1418" w:type="dxa"/>
            <w:vMerge w:val="continue"/>
            <w:shd w:val="clear" w:color="auto" w:fill="auto"/>
            <w:vAlign w:val="center"/>
          </w:tcPr>
          <w:p>
            <w:pPr>
              <w:rPr>
                <w:rFonts w:ascii="仿宋_GB2312" w:eastAsia="仿宋_GB2312"/>
                <w:color w:val="000000"/>
                <w:szCs w:val="21"/>
              </w:rPr>
            </w:pPr>
          </w:p>
        </w:tc>
        <w:tc>
          <w:tcPr>
            <w:tcW w:w="2397" w:type="dxa"/>
            <w:vAlign w:val="center"/>
          </w:tcPr>
          <w:p>
            <w:pPr>
              <w:rPr>
                <w:rFonts w:ascii="仿宋_GB2312" w:eastAsia="仿宋_GB2312"/>
                <w:color w:val="000000"/>
                <w:szCs w:val="21"/>
              </w:rPr>
            </w:pPr>
            <w:r>
              <w:rPr>
                <w:rFonts w:hint="eastAsia" w:ascii="仿宋_GB2312" w:eastAsia="仿宋_GB2312"/>
                <w:color w:val="000000"/>
                <w:szCs w:val="21"/>
              </w:rPr>
              <w:t>诊改机制建设及效果</w:t>
            </w:r>
          </w:p>
        </w:tc>
        <w:tc>
          <w:tcPr>
            <w:tcW w:w="6035" w:type="dxa"/>
            <w:shd w:val="clear" w:color="auto" w:fill="auto"/>
            <w:vAlign w:val="center"/>
          </w:tcPr>
          <w:p>
            <w:pPr>
              <w:rPr>
                <w:rFonts w:ascii="仿宋_GB2312" w:eastAsia="仿宋_GB2312"/>
                <w:color w:val="000000"/>
                <w:szCs w:val="21"/>
              </w:rPr>
            </w:pPr>
            <w:r>
              <w:rPr>
                <w:rFonts w:hint="eastAsia" w:ascii="仿宋_GB2312" w:eastAsia="仿宋_GB2312"/>
                <w:color w:val="000000"/>
                <w:szCs w:val="21"/>
              </w:rPr>
              <w:t>内部质量保证体系是否日趋完备；持续改进的机制是否呈常态化并步入良性循环，人才培养质量是否得到持续提升。</w:t>
            </w:r>
          </w:p>
        </w:tc>
        <w:tc>
          <w:tcPr>
            <w:tcW w:w="3268" w:type="dxa"/>
            <w:shd w:val="clear" w:color="auto" w:fill="auto"/>
            <w:vAlign w:val="center"/>
          </w:tcPr>
          <w:p>
            <w:pPr>
              <w:ind w:left="420"/>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96" w:type="dxa"/>
            <w:vMerge w:val="continue"/>
            <w:tcBorders>
              <w:bottom w:val="single" w:color="auto" w:sz="4" w:space="0"/>
            </w:tcBorders>
            <w:shd w:val="clear" w:color="auto" w:fill="auto"/>
            <w:vAlign w:val="center"/>
          </w:tcPr>
          <w:p>
            <w:pPr>
              <w:rPr>
                <w:rFonts w:ascii="仿宋_GB2312" w:eastAsia="仿宋_GB2312"/>
                <w:color w:val="000000"/>
                <w:szCs w:val="21"/>
              </w:rPr>
            </w:pPr>
          </w:p>
        </w:tc>
        <w:tc>
          <w:tcPr>
            <w:tcW w:w="1418"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5.4体系特色</w:t>
            </w:r>
          </w:p>
        </w:tc>
        <w:tc>
          <w:tcPr>
            <w:tcW w:w="2397" w:type="dxa"/>
            <w:tcBorders>
              <w:bottom w:val="single" w:color="auto" w:sz="4" w:space="0"/>
            </w:tcBorders>
            <w:vAlign w:val="center"/>
          </w:tcPr>
          <w:p>
            <w:pPr>
              <w:rPr>
                <w:rFonts w:ascii="仿宋_GB2312" w:eastAsia="仿宋_GB2312"/>
                <w:color w:val="000000"/>
                <w:szCs w:val="21"/>
              </w:rPr>
            </w:pPr>
            <w:r>
              <w:rPr>
                <w:rFonts w:hint="eastAsia" w:ascii="仿宋_GB2312" w:eastAsia="仿宋_GB2312"/>
                <w:color w:val="000000"/>
                <w:szCs w:val="21"/>
              </w:rPr>
              <w:t>学校质量保证体系特色</w:t>
            </w:r>
          </w:p>
        </w:tc>
        <w:tc>
          <w:tcPr>
            <w:tcW w:w="6035" w:type="dxa"/>
            <w:tcBorders>
              <w:bottom w:val="single" w:color="auto" w:sz="4" w:space="0"/>
            </w:tcBorders>
            <w:shd w:val="clear" w:color="auto" w:fill="auto"/>
            <w:vAlign w:val="center"/>
          </w:tcPr>
          <w:p>
            <w:pPr>
              <w:rPr>
                <w:rFonts w:ascii="仿宋_GB2312" w:eastAsia="仿宋_GB2312"/>
                <w:color w:val="000000"/>
                <w:szCs w:val="21"/>
              </w:rPr>
            </w:pPr>
            <w:r>
              <w:rPr>
                <w:rFonts w:hint="eastAsia" w:ascii="仿宋_GB2312" w:eastAsia="仿宋_GB2312"/>
                <w:color w:val="000000"/>
                <w:szCs w:val="21"/>
              </w:rPr>
              <w:t>学校自身质量保证体系能否形成特色，应用效果好，并能发挥辐射与影响作用。</w:t>
            </w:r>
          </w:p>
        </w:tc>
        <w:tc>
          <w:tcPr>
            <w:tcW w:w="3268" w:type="dxa"/>
            <w:tcBorders>
              <w:bottom w:val="single" w:color="auto" w:sz="4" w:space="0"/>
            </w:tcBorders>
            <w:shd w:val="clear" w:color="auto" w:fill="auto"/>
            <w:vAlign w:val="center"/>
          </w:tcPr>
          <w:p>
            <w:pPr>
              <w:ind w:left="420"/>
              <w:jc w:val="left"/>
              <w:rPr>
                <w:rFonts w:ascii="仿宋_GB2312" w:eastAsia="仿宋_GB2312"/>
                <w:color w:val="000000"/>
                <w:szCs w:val="21"/>
              </w:rPr>
            </w:pPr>
          </w:p>
        </w:tc>
      </w:tr>
    </w:tbl>
    <w:p>
      <w:pPr>
        <w:snapToGrid w:val="0"/>
        <w:spacing w:before="156" w:beforeLines="50"/>
        <w:ind w:firstLine="420" w:firstLineChars="200"/>
        <w:rPr>
          <w:rFonts w:ascii="仿宋_GB2312" w:eastAsia="仿宋_GB2312"/>
          <w:color w:val="000000"/>
        </w:rPr>
      </w:pPr>
      <w:r>
        <w:rPr>
          <w:rFonts w:hint="eastAsia" w:ascii="仿宋_GB2312" w:eastAsia="仿宋_GB2312"/>
          <w:color w:val="000000"/>
        </w:rPr>
        <w:t>注：1．本表设5个诊断项目，15个诊断要素，37个诊断点。</w:t>
      </w:r>
    </w:p>
    <w:p>
      <w:pPr>
        <w:snapToGrid w:val="0"/>
        <w:spacing w:before="156" w:beforeLines="50"/>
        <w:ind w:firstLine="840" w:firstLineChars="400"/>
      </w:pPr>
      <w:r>
        <w:rPr>
          <w:rFonts w:hint="eastAsia" w:ascii="仿宋_GB2312" w:eastAsia="仿宋_GB2312"/>
          <w:color w:val="000000"/>
        </w:rPr>
        <w:t>2．“</w:t>
      </w:r>
      <w:r>
        <w:rPr>
          <w:rFonts w:hint="eastAsia" w:ascii="仿宋_GB2312" w:eastAsia="仿宋_GB2312"/>
          <w:color w:val="000000"/>
          <w:szCs w:val="21"/>
        </w:rPr>
        <w:t>数据管理平台相应编号”所列的各指标编号，起引导作用，不是规定或标准</w:t>
      </w:r>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FD"/>
    <w:rsid w:val="0018799D"/>
    <w:rsid w:val="001C63AB"/>
    <w:rsid w:val="00491D32"/>
    <w:rsid w:val="009E4F9C"/>
    <w:rsid w:val="00CE0FFD"/>
    <w:rsid w:val="00E572E4"/>
    <w:rsid w:val="00F54662"/>
    <w:rsid w:val="488E52CC"/>
    <w:rsid w:val="5A453ABB"/>
    <w:rsid w:val="5BE37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960</Words>
  <Characters>5474</Characters>
  <Lines>45</Lines>
  <Paragraphs>12</Paragraphs>
  <TotalTime>3</TotalTime>
  <ScaleCrop>false</ScaleCrop>
  <LinksUpToDate>false</LinksUpToDate>
  <CharactersWithSpaces>6422</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2016-05-27T08:31:00Z</dcterms:created>
  <dc:creator>User</dc:creator>
  <cp:lastModifiedBy>QU✨</cp:lastModifiedBy>
  <dcterms:modified xsi:type="dcterms:W3CDTF">2018-12-11T01:53:18Z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